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91028100682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FEDERAZIONE REGIONALE DEI DOTTORI AGRONOMI E DEI DOTTORI FORESTALI DELL'ABRUZZO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Abruzzo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0</w:t>
      </w:r>
    </w:p>
    <w:p w14:paraId="0E74568E" w14:textId="285CF43E" w:rsidP="00A82AEF" w:rsidR="00DF06C3" w:rsidRDefault="00A82AEF">
      <w:r>
        <w:t>Numero totale Dirigenti</w:t>
      </w:r>
      <w:r w:rsidR="007F66BA">
        <w:t>: 4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VINCENZO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DI GENOVA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Dirigente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Presidente ODAF L'Aquila e consigliere della FODAF Abruzzo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24/08/2023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5130"/>
        <w:gridCol w:w="1814"/>
        <w:gridCol w:w="2678"/>
      </w:tblGrid>
      <w:tr w14:paraId="11B5FF67" w14:textId="77777777" w:rsidR="00700CC3" w:rsidRPr="00700CC3" w:rsidTr="008E6701">
        <w:trPr>
          <w:trHeight w:val="288"/>
        </w:trPr>
        <w:tc>
          <w:tcPr>
            <w:tcW w:type="dxa" w:w="5315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1874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433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1874"/>
            <w:noWrap/>
            <w:hideMark/>
          </w:tcPr>
          <w:p w14:paraId="2722F94C" w14:textId="5D35A27F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1874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1874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CD0A36F" w14:textId="4367EECF" w:rsidP="001C330B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type="dxa" w:w="1874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1874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1874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1874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1874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Svolgimento attività successiva cessazione lavoro – pantouflage</w:t>
            </w:r>
          </w:p>
        </w:tc>
        <w:tc>
          <w:tcPr>
            <w:tcW w:type="dxa" w:w="1874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1874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8E6701">
        <w:trPr>
          <w:trHeight w:val="288"/>
        </w:trPr>
        <w:tc>
          <w:tcPr>
            <w:tcW w:type="dxa" w:w="5315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1874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8E6701">
        <w:trPr>
          <w:trHeight w:val="288"/>
        </w:trPr>
        <w:tc>
          <w:tcPr>
            <w:tcW w:type="dxa" w:w="5315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01DBFD87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25289F99" w14:textId="6F49E566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dati inseriti in anagrafe unica delle stazioni appaltanti</w:t>
            </w:r>
          </w:p>
        </w:tc>
        <w:tc>
          <w:tcPr>
            <w:tcW w:type="dxa" w:w="1874"/>
            <w:noWrap/>
          </w:tcPr>
          <w:p w14:paraId="227F7F8F" w14:textId="3C31591B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104D55A9" w14:textId="77777777" w:rsidP="00700CC3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3C113AE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7EF7F083" w14:textId="188DD5FB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type="dxa" w:w="1874"/>
            <w:noWrap/>
          </w:tcPr>
          <w:p w14:paraId="08D2DB9D" w14:textId="23E480D5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1C3FB9A1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9B57796" w14:textId="77777777" w:rsidR="002D019E" w:rsidRPr="00216077" w:rsidTr="008E6701">
        <w:trPr>
          <w:trHeight w:val="288"/>
        </w:trPr>
        <w:tc>
          <w:tcPr>
            <w:tcW w:type="dxa" w:w="5315"/>
            <w:noWrap/>
          </w:tcPr>
          <w:p w14:paraId="219B253C" w14:textId="088C1933" w:rsidP="002D019E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type="dxa" w:w="1874"/>
            <w:noWrap/>
          </w:tcPr>
          <w:p w14:paraId="57F02AAA" w14:textId="59DFA6CC" w:rsidP="008E6701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C50178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</w:tcPr>
          <w:p w14:paraId="33A19A9E" w14:textId="77777777" w:rsidP="008E6701" w:rsidR="002D019E" w:rsidRDefault="002D019E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A4931CD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30EF60F9" w14:textId="77777777" w:rsidP="002D019E" w:rsidR="008E6701" w:rsidRDefault="008E6701">
            <w:pPr>
              <w:ind w:left="432"/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6A67F8FC" w14:textId="77777777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433"/>
            <w:noWrap/>
          </w:tcPr>
          <w:p w14:paraId="31C7D528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5 misure non sono state ancora avviate le attività e non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>Sebbene il Codice di Comportamento sia stato adottato, non è stato previsto l’aggiornamento e/o la programmazione degli interventi idonei a garantire la corretta e continua attuazione della misura, per la seguente motivazione: Non ritenuto necessario</w:t>
        <w:br/>
        <w:t/>
        <w:br/>
        <w:t xml:space="preserve">La misura Codice di Comportamento, pur essendo stata programmata nel PTPCT o nella sezione Anticorruzione e Trasparenza del PIAO di riferimento, non è stata ancora attuata, in particolare: </w:t>
        <w:br/>
        <w:t>Non sono state ancora avviate le attività e non saranno avviate nei tempi previsti per le seguenti motivazioni:</w:t>
        <w:br/>
        <w:t xml:space="preserve">  - carenza di competenze</w:t>
      </w:r>
    </w:p>
    <w:p w14:paraId="6C48E9E1" w14:textId="7FEE6B51" w:rsidP="0050511D" w:rsidR="00BC36D4" w:rsidRDefault="00BC36D4">
      <w:r>
        <w:t/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Non si ha personale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t/>
        <w:br/>
        <w:t xml:space="preserve">INCONFERIBILITÀ </w:t>
        <w:br/>
        <w:t>Nell'anno di riferimento del PTPCT o della sezione Anticorruzione e Trasparenza del PIAO in esame, sono pervenute 4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sono pervenute 4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Vengono aggiornate annualmente.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  <w:br/>
        <w:t/>
        <w:br/>
        <w:t xml:space="preserve">CONFLITTO DI INTERESSI </w:t>
        <w:br/>
        <w:t>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  <w:br/>
        <w:t>Nel corso dell'anno non sono state rilevate ipotesi di conflitto di interessi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Email</w:t>
        <w:br/>
        <w:t xml:space="preserve"> </w:t>
        <w:br/>
        <w:t>Non possono effettuare le segnalazioni i dipendenti pubblici 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/>
        <w:br/>
        <w:t xml:space="preserve">  - Sui contenuti del Piano Triennale di Prevenzione della Corruzione e della Trasparenza</w:t>
        <w:br/>
        <w:t xml:space="preserve">    - RPCT per un numero medio di ore 3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a distanza</w:t>
        <w:br/>
        <w:t/>
        <w:br/>
        <w:t>Non sono stati somministrati ai partecipanti presenti dei questionari finalizzati a misurare il loro livello di gradimento.</w:t>
        <w:br/>
        <w:t/>
        <w:br/>
        <w:t>La formazione è stata affidata a soggetti esterni in dettaglio:</w:t>
        <w:br/>
        <w:t xml:space="preserve">  - Gazzetta Amministrativa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annuale.</w:t>
        <w:br/>
        <w:t>I monitoraggi non hanno evidenziato irregolarità nella pubblicazione dei dati.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lastRenderedPageBreak/>
        <w:t>L'amministrazione ha realizzato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  <w:br/>
        <w:t/>
        <w:br/>
        <w:t>In merito al livello di adempimento degli obblighi di trasparenza, si formula il seguente giudizio: Non sono stati riscontrate inadempienze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r>
        <w:t>Pantouflage</w:t>
      </w:r>
      <w:bookmarkEnd w:id="14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  <w:br/>
        <w:t xml:space="preserve">Non sono state ancora avviate le attività e non saranno avviate nei tempi previsti dal PTPCT o dalla sezione Anticorruzione e Trasparenza del PIAO per le seguenti motivazioni: </w:t>
        <w:br/>
        <w:t xml:space="preserve">  - carenza di competenze</w:t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/>
      </w:r>
    </w:p>
    <w:p w14:paraId="1D96A216" w14:textId="6556EB67" w:rsidP="00C57E07" w:rsidR="00634F49" w:rsidRDefault="00634F49">
      <w:r>
        <w:t xml:space="preserve">La misura “Commissioni, assegnazioni di uffici e conferimento di incarichi in caso di condanna per delitti contro le PA”, pur essendo stata programmata nel PTPCT o nella sezione Anticorruzione e Trasparenza del PIAO di riferimento, non è stata ancora attuata. in particolare: </w:t>
        <w:br/>
        <w:t>Non sono state ancora avviate le attività e non saranno avviate nei tempi previsti dal PTPCT o dalla sezione Anticorruzione e Trasparenza del PIAO per le seguenti motivazioni:</w:t>
        <w:br/>
        <w:t xml:space="preserve">  - carenza di risorse finanziarie</w:t>
        <w:br/>
        <w:t xml:space="preserve">  - carenza di competenze</w:t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/>
      </w:r>
    </w:p>
    <w:p w14:paraId="335B52E3" w14:textId="479D1626" w:rsidP="00A054EE" w:rsidR="002017E5" w:rsidRDefault="002017E5">
      <w:r>
        <w:t xml:space="preserve">Pur essendo stata programmata nel PTPCT o nella sezione Anticorruzione e Trasparenza del PIAO di riferimento, non sono ancora stati predisposti e utilizzati protocolli di legalità o patti d’integrità per l’affidamento di commesse, in particolare: </w:t>
        <w:br/>
        <w:t>Non sono state ancora avviate le attività e non saranno avviate nei tempi previsti dal PTPCT o dalla sezione Anticorruzione e Trasparenza del PIAO per le seguenti motivazioni:</w:t>
        <w:br/>
        <w:t xml:space="preserve">  - carenza di risorse finanziarie</w:t>
        <w:br/>
        <w:t xml:space="preserve">  - carenza di competenze</w:t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 xml:space="preserve">La misura “Rapporti con i portatori di interessi particolari”, pur essendo stata programmata nel PTPCT o nella sezione Anticorruzione e Trasparenza del PIAO di riferimento, non è stata ancora attuata. in particolare: </w:t>
        <w:br/>
        <w:t>Non sono state ancora avviate le attività e non saranno avviate nei tempi previsti dal PTPCT o dalla sezione Anticorruzione e Trasparenza del PIAO per le seguenti motivazioni:</w:t>
        <w:br/>
        <w:t xml:space="preserve">  - carenza di risorse finanziarie</w:t>
        <w:br/>
        <w:t xml:space="preserve">  - carenza di competenze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neutrale sull'efficienza dei servizi (es. in termini di riduzione dei tempi di erogazione dei servizi)</w:t>
        <w:br/>
        <w:t xml:space="preserve">  - neutrale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positivo sulle relazioni con i cittadini</w:t>
      </w:r>
    </w:p>
    <w:p w14:paraId="6C88A099" w14:textId="1949A445" w:rsidP="00A82AEF" w:rsidR="00B96D6A" w:rsidRDefault="000C2AE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>Nel PTPCT o nella sezione Anticorruzione e Trasparenza del PIAOi n esame non sono state programmate misure specifiche. Le ragioni alla base della mancata programmazione delle misure specifiche sono di seguito riportate:  La Federazione non incorre a rischi ne medi ne alti vista la propria natura organizzativa</w:t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- Non si applica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aumentata</w:t>
        <w:br/>
        <w:t xml:space="preserve">  - la capacità di individuare e far emergere situazioni di rischio corruttivo e di intervenire con adeguati rimedi  è aumentata</w:t>
        <w:br/>
        <w:t xml:space="preserve">  - la reputazione dell'ente  è aumentata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sufficiente per le seguenti ragioni: C'è necessità di maggiore formazione del RPCT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ragioni:C'è necessità di maggiore formazione del RPCT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lastRenderedPageBreak/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33C1" w14:textId="77777777" w:rsidR="00D64423" w:rsidRDefault="00D64423" w:rsidP="00424EBB">
      <w:r>
        <w:separator/>
      </w:r>
    </w:p>
  </w:endnote>
  <w:endnote w:type="continuationSeparator" w:id="0">
    <w:p w14:paraId="2A12EEA0" w14:textId="77777777" w:rsidR="00D64423" w:rsidRDefault="00D6442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4476728A" w14:textId="77777777" w:rsidP="00424EBB" w:rsidR="00D64423" w:rsidRDefault="00D64423">
      <w:r>
        <w:separator/>
      </w:r>
    </w:p>
  </w:footnote>
  <w:footnote w:id="0" w:type="continuationSeparator">
    <w:p w14:paraId="31ECCB1F" w14:textId="77777777" w:rsidP="00424EBB" w:rsidR="00D64423" w:rsidRDefault="00D64423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1288</Words>
  <Characters>7346</Characters>
  <Application>Microsoft Office Word</Application>
  <DocSecurity>0</DocSecurity>
  <Lines>61</Lines>
  <Paragraphs>17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2024-01-04T09:52:00Z</dcterms:created>
  <dc:creator>Utente di Microsoft Office</dc:creator>
  <cp:lastModifiedBy>Lanza Giuseppe</cp:lastModifiedBy>
  <cp:lastPrinted>2019-09-03T12:09:00Z</cp:lastPrinted>
  <dcterms:modified xsi:type="dcterms:W3CDTF">2025-12-05T14:02:00Z</dcterms:modified>
  <cp:revision>5</cp:revision>
</cp:coreProperties>
</file>